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06D17" w14:textId="005B14F9" w:rsidR="009672CE" w:rsidRDefault="009672CE" w:rsidP="00FD3C8B">
      <w:pPr>
        <w:spacing w:after="0"/>
        <w:rPr>
          <w:noProof/>
        </w:rPr>
      </w:pPr>
    </w:p>
    <w:tbl>
      <w:tblPr>
        <w:tblStyle w:val="TableGrid"/>
        <w:tblW w:w="0" w:type="auto"/>
        <w:tblLook w:val="04A0" w:firstRow="1" w:lastRow="0" w:firstColumn="1" w:lastColumn="0" w:noHBand="0" w:noVBand="1"/>
      </w:tblPr>
      <w:tblGrid>
        <w:gridCol w:w="4390"/>
        <w:gridCol w:w="4626"/>
      </w:tblGrid>
      <w:tr w:rsidR="00FD3C8B" w:rsidRPr="00CD7596" w14:paraId="484262A8" w14:textId="77777777" w:rsidTr="00946DCF">
        <w:tc>
          <w:tcPr>
            <w:tcW w:w="4390" w:type="dxa"/>
            <w:shd w:val="clear" w:color="auto" w:fill="767171" w:themeFill="background2" w:themeFillShade="80"/>
          </w:tcPr>
          <w:p w14:paraId="774F94F8" w14:textId="77777777" w:rsidR="00FD3C8B" w:rsidRPr="00CD7596" w:rsidRDefault="00FD3C8B" w:rsidP="00946DCF">
            <w:pPr>
              <w:rPr>
                <w:rFonts w:ascii="Rockwell" w:hAnsi="Rockwell"/>
              </w:rPr>
            </w:pPr>
          </w:p>
          <w:p w14:paraId="4312D81E" w14:textId="54C60F5D" w:rsidR="00FD3C8B" w:rsidRPr="00765D0F" w:rsidRDefault="00C33917" w:rsidP="00946DCF">
            <w:pPr>
              <w:rPr>
                <w:rFonts w:ascii="Rockwell" w:hAnsi="Rockwell"/>
                <w:color w:val="FFFFFF" w:themeColor="background1"/>
                <w:sz w:val="56"/>
                <w:szCs w:val="56"/>
              </w:rPr>
            </w:pPr>
            <w:r>
              <w:rPr>
                <w:rFonts w:ascii="Rockwell" w:hAnsi="Rockwell"/>
                <w:color w:val="FFFFFF" w:themeColor="background1"/>
                <w:sz w:val="56"/>
                <w:szCs w:val="56"/>
              </w:rPr>
              <w:t>NAENAE</w:t>
            </w:r>
          </w:p>
          <w:p w14:paraId="0664F0F6" w14:textId="16D35E7C" w:rsidR="00FD3C8B" w:rsidRPr="00CD7596" w:rsidRDefault="00C33917" w:rsidP="00C33917">
            <w:pPr>
              <w:rPr>
                <w:rFonts w:ascii="Rockwell" w:hAnsi="Rockwell"/>
              </w:rPr>
            </w:pPr>
            <w:r>
              <w:rPr>
                <w:rFonts w:ascii="Rockwell" w:hAnsi="Rockwell"/>
                <w:color w:val="FFFFFF" w:themeColor="background1"/>
                <w:sz w:val="56"/>
                <w:szCs w:val="56"/>
              </w:rPr>
              <w:t>MEDICAL CENTRE</w:t>
            </w:r>
          </w:p>
        </w:tc>
        <w:tc>
          <w:tcPr>
            <w:tcW w:w="4626" w:type="dxa"/>
            <w:shd w:val="clear" w:color="auto" w:fill="767171" w:themeFill="background2" w:themeFillShade="80"/>
          </w:tcPr>
          <w:p w14:paraId="697CB9B9" w14:textId="77777777" w:rsidR="00FD3C8B" w:rsidRPr="00CD7596" w:rsidRDefault="00FD3C8B" w:rsidP="00946DCF">
            <w:pPr>
              <w:rPr>
                <w:rFonts w:ascii="Rockwell" w:hAnsi="Rockwell"/>
              </w:rPr>
            </w:pPr>
          </w:p>
          <w:p w14:paraId="356ED202" w14:textId="77777777" w:rsidR="00C33917" w:rsidRDefault="00C33917" w:rsidP="00946DCF">
            <w:pPr>
              <w:rPr>
                <w:rFonts w:ascii="Rockwell" w:hAnsi="Rockwell"/>
                <w:color w:val="FFFFFF" w:themeColor="background1"/>
              </w:rPr>
            </w:pPr>
          </w:p>
          <w:p w14:paraId="34FBFCB5" w14:textId="45DC7484" w:rsidR="00FD3C8B" w:rsidRPr="00765D0F" w:rsidRDefault="00FD3C8B" w:rsidP="00946DCF">
            <w:pPr>
              <w:rPr>
                <w:rFonts w:ascii="Rockwell" w:hAnsi="Rockwell"/>
                <w:color w:val="FFFFFF" w:themeColor="background1"/>
              </w:rPr>
            </w:pPr>
            <w:r w:rsidRPr="00765D0F">
              <w:rPr>
                <w:rFonts w:ascii="Rockwell" w:hAnsi="Rockwell"/>
                <w:color w:val="FFFFFF" w:themeColor="background1"/>
              </w:rPr>
              <w:t>Naenae Medical Centre</w:t>
            </w:r>
          </w:p>
          <w:p w14:paraId="421A7ACE" w14:textId="77777777" w:rsidR="00FD3C8B" w:rsidRDefault="00FD3C8B" w:rsidP="00946DCF">
            <w:pPr>
              <w:rPr>
                <w:rFonts w:ascii="Rockwell" w:hAnsi="Rockwell"/>
                <w:color w:val="FFFFFF" w:themeColor="background1"/>
              </w:rPr>
            </w:pPr>
            <w:r w:rsidRPr="00765D0F">
              <w:rPr>
                <w:rFonts w:ascii="Rockwell" w:hAnsi="Rockwell"/>
                <w:color w:val="FFFFFF" w:themeColor="background1"/>
              </w:rPr>
              <w:t>39 Treadwell Street</w:t>
            </w:r>
          </w:p>
          <w:p w14:paraId="0CE5FC84" w14:textId="77777777" w:rsidR="00FD3C8B" w:rsidRDefault="00FD3C8B" w:rsidP="00946DCF">
            <w:pPr>
              <w:rPr>
                <w:rFonts w:ascii="Rockwell" w:hAnsi="Rockwell"/>
                <w:color w:val="FFFFFF" w:themeColor="background1"/>
              </w:rPr>
            </w:pPr>
            <w:r>
              <w:rPr>
                <w:rFonts w:ascii="Rockwell" w:hAnsi="Rockwell"/>
                <w:color w:val="FFFFFF" w:themeColor="background1"/>
              </w:rPr>
              <w:t>Naenae</w:t>
            </w:r>
          </w:p>
          <w:p w14:paraId="6E1518F6" w14:textId="77777777" w:rsidR="00FD3C8B" w:rsidRDefault="00FD3C8B" w:rsidP="00946DCF">
            <w:pPr>
              <w:rPr>
                <w:rFonts w:ascii="Rockwell" w:hAnsi="Rockwell"/>
              </w:rPr>
            </w:pPr>
            <w:r>
              <w:rPr>
                <w:rFonts w:ascii="Rockwell" w:hAnsi="Rockwell"/>
                <w:color w:val="FFFFFF" w:themeColor="background1"/>
              </w:rPr>
              <w:t>LOWER HUTT</w:t>
            </w:r>
          </w:p>
          <w:p w14:paraId="3A6B7A5F" w14:textId="77777777" w:rsidR="00FD3C8B" w:rsidRPr="00CD7596" w:rsidRDefault="00FD3C8B" w:rsidP="00946DCF">
            <w:pPr>
              <w:rPr>
                <w:rFonts w:ascii="Rockwell" w:hAnsi="Rockwell"/>
              </w:rPr>
            </w:pPr>
          </w:p>
        </w:tc>
      </w:tr>
      <w:tr w:rsidR="00FD3C8B" w:rsidRPr="00765D0F" w14:paraId="6085C5F2" w14:textId="77777777" w:rsidTr="00946DCF">
        <w:tc>
          <w:tcPr>
            <w:tcW w:w="4390" w:type="dxa"/>
            <w:shd w:val="clear" w:color="auto" w:fill="000000" w:themeFill="text1"/>
          </w:tcPr>
          <w:p w14:paraId="35CFA032" w14:textId="77777777" w:rsidR="00FD3C8B" w:rsidRPr="00765D0F" w:rsidRDefault="00FD3C8B" w:rsidP="00946DCF">
            <w:pPr>
              <w:rPr>
                <w:rFonts w:ascii="Rockwell" w:hAnsi="Rockwell"/>
                <w:color w:val="FFFFFF" w:themeColor="background1"/>
              </w:rPr>
            </w:pPr>
            <w:r>
              <w:rPr>
                <w:rFonts w:ascii="Rockwell" w:hAnsi="Rockwell"/>
                <w:color w:val="FFFFFF" w:themeColor="background1"/>
              </w:rPr>
              <w:t>KIA ORA AND WELCOME</w:t>
            </w:r>
          </w:p>
        </w:tc>
        <w:tc>
          <w:tcPr>
            <w:tcW w:w="4626" w:type="dxa"/>
            <w:shd w:val="clear" w:color="auto" w:fill="000000" w:themeFill="text1"/>
          </w:tcPr>
          <w:p w14:paraId="79417DD8" w14:textId="77777777" w:rsidR="00FD3C8B" w:rsidRPr="00765D0F" w:rsidRDefault="00FD3C8B" w:rsidP="00946DCF">
            <w:pPr>
              <w:rPr>
                <w:rFonts w:ascii="Rockwell" w:hAnsi="Rockwell"/>
                <w:color w:val="FFFFFF" w:themeColor="background1"/>
              </w:rPr>
            </w:pPr>
            <w:r w:rsidRPr="00765D0F">
              <w:rPr>
                <w:rFonts w:ascii="Rockwell" w:hAnsi="Rockwell"/>
                <w:color w:val="FFFFFF" w:themeColor="background1"/>
              </w:rPr>
              <w:t>CONTACT</w:t>
            </w:r>
          </w:p>
        </w:tc>
      </w:tr>
      <w:tr w:rsidR="00FD3C8B" w:rsidRPr="00BA0EAE" w14:paraId="02B7A718" w14:textId="77777777" w:rsidTr="00946DCF">
        <w:trPr>
          <w:trHeight w:val="1710"/>
        </w:trPr>
        <w:tc>
          <w:tcPr>
            <w:tcW w:w="4390" w:type="dxa"/>
          </w:tcPr>
          <w:p w14:paraId="0707C622" w14:textId="77777777" w:rsidR="00FD3C8B" w:rsidRPr="00BA0EAE" w:rsidRDefault="00FD3C8B" w:rsidP="00946DCF">
            <w:pPr>
              <w:rPr>
                <w:rFonts w:cstheme="minorHAnsi"/>
              </w:rPr>
            </w:pPr>
            <w:r w:rsidRPr="00BA0EAE">
              <w:rPr>
                <w:rFonts w:cstheme="minorHAnsi"/>
                <w:noProof/>
              </w:rPr>
              <w:drawing>
                <wp:anchor distT="0" distB="0" distL="114300" distR="114300" simplePos="0" relativeHeight="251660288" behindDoc="1" locked="0" layoutInCell="1" allowOverlap="1" wp14:anchorId="5A91FE9C" wp14:editId="2DE19E09">
                  <wp:simplePos x="0" y="0"/>
                  <wp:positionH relativeFrom="column">
                    <wp:posOffset>2126210</wp:posOffset>
                  </wp:positionH>
                  <wp:positionV relativeFrom="paragraph">
                    <wp:posOffset>40262</wp:posOffset>
                  </wp:positionV>
                  <wp:extent cx="427355" cy="427355"/>
                  <wp:effectExtent l="0" t="0" r="0" b="0"/>
                  <wp:wrapTight wrapText="bothSides">
                    <wp:wrapPolygon edited="0">
                      <wp:start x="0" y="0"/>
                      <wp:lineTo x="0" y="20220"/>
                      <wp:lineTo x="20220" y="20220"/>
                      <wp:lineTo x="202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7355" cy="427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0EAE">
              <w:rPr>
                <w:rFonts w:cstheme="minorHAnsi"/>
                <w:noProof/>
              </w:rPr>
              <w:drawing>
                <wp:anchor distT="0" distB="0" distL="114300" distR="114300" simplePos="0" relativeHeight="251659264" behindDoc="1" locked="0" layoutInCell="1" allowOverlap="1" wp14:anchorId="4378974F" wp14:editId="04519BF4">
                  <wp:simplePos x="0" y="0"/>
                  <wp:positionH relativeFrom="column">
                    <wp:posOffset>-3810</wp:posOffset>
                  </wp:positionH>
                  <wp:positionV relativeFrom="paragraph">
                    <wp:posOffset>118110</wp:posOffset>
                  </wp:positionV>
                  <wp:extent cx="865505" cy="825500"/>
                  <wp:effectExtent l="0" t="0" r="0" b="0"/>
                  <wp:wrapTight wrapText="bothSides">
                    <wp:wrapPolygon edited="0">
                      <wp:start x="0" y="0"/>
                      <wp:lineTo x="0" y="20935"/>
                      <wp:lineTo x="20919" y="20935"/>
                      <wp:lineTo x="20919" y="0"/>
                      <wp:lineTo x="0" y="0"/>
                    </wp:wrapPolygon>
                  </wp:wrapTight>
                  <wp:docPr id="5" name="Picture 3" descr="D:\NAENAE MEDICAL CENTRE LOGO.tif"/>
                  <wp:cNvGraphicFramePr/>
                  <a:graphic xmlns:a="http://schemas.openxmlformats.org/drawingml/2006/main">
                    <a:graphicData uri="http://schemas.openxmlformats.org/drawingml/2006/picture">
                      <pic:pic xmlns:pic="http://schemas.openxmlformats.org/drawingml/2006/picture">
                        <pic:nvPicPr>
                          <pic:cNvPr id="5" name="Picture 3" descr="D:\NAENAE MEDICAL CENTRE LOGO.tif"/>
                          <pic:cNvPicPr/>
                        </pic:nvPicPr>
                        <pic:blipFill>
                          <a:blip r:embed="rId6" cstate="print">
                            <a:extLst>
                              <a:ext uri="{28A0092B-C50C-407E-A947-70E740481C1C}">
                                <a14:useLocalDpi xmlns:a14="http://schemas.microsoft.com/office/drawing/2010/main" val="0"/>
                              </a:ext>
                            </a:extLst>
                          </a:blip>
                          <a:srcRect l="13681" t="17899" r="18648" b="14276"/>
                          <a:stretch>
                            <a:fillRect/>
                          </a:stretch>
                        </pic:blipFill>
                        <pic:spPr bwMode="auto">
                          <a:xfrm>
                            <a:off x="0" y="0"/>
                            <a:ext cx="865505" cy="825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496349" w14:textId="77777777" w:rsidR="00BA5FC2" w:rsidRDefault="00BA5FC2" w:rsidP="00946DCF">
            <w:pPr>
              <w:rPr>
                <w:rFonts w:cstheme="minorHAnsi"/>
              </w:rPr>
            </w:pPr>
          </w:p>
          <w:p w14:paraId="5048CB6F" w14:textId="74AD4760" w:rsidR="00FD3C8B" w:rsidRDefault="00FD3C8B" w:rsidP="00946DCF">
            <w:pPr>
              <w:rPr>
                <w:rFonts w:cstheme="minorHAnsi"/>
                <w:noProof/>
              </w:rPr>
            </w:pPr>
            <w:r w:rsidRPr="00BA5FC2">
              <w:rPr>
                <w:rFonts w:cstheme="minorHAnsi"/>
              </w:rPr>
              <w:t xml:space="preserve">Dr </w:t>
            </w:r>
            <w:r w:rsidR="00665F84" w:rsidRPr="00BA5FC2">
              <w:rPr>
                <w:rFonts w:cstheme="minorHAnsi"/>
              </w:rPr>
              <w:t>Kolitha de Silva</w:t>
            </w:r>
            <w:r w:rsidRPr="00BA5FC2">
              <w:rPr>
                <w:rFonts w:cstheme="minorHAnsi"/>
                <w:noProof/>
              </w:rPr>
              <w:t xml:space="preserve"> </w:t>
            </w:r>
          </w:p>
          <w:p w14:paraId="36983413" w14:textId="135EC876" w:rsidR="00442CFB" w:rsidRPr="00BA5FC2" w:rsidRDefault="00442CFB" w:rsidP="00946DCF">
            <w:pPr>
              <w:rPr>
                <w:rFonts w:cstheme="minorHAnsi"/>
              </w:rPr>
            </w:pPr>
            <w:r>
              <w:rPr>
                <w:rFonts w:cstheme="minorHAnsi"/>
              </w:rPr>
              <w:t>Dr Mike Haymes</w:t>
            </w:r>
            <w:bookmarkStart w:id="0" w:name="_GoBack"/>
            <w:bookmarkEnd w:id="0"/>
          </w:p>
          <w:p w14:paraId="13B14D4D" w14:textId="5F6F8DE5" w:rsidR="00FD3C8B" w:rsidRPr="00BA5FC2" w:rsidRDefault="00FD3C8B" w:rsidP="00946DCF">
            <w:pPr>
              <w:rPr>
                <w:rFonts w:cstheme="minorHAnsi"/>
              </w:rPr>
            </w:pPr>
            <w:r w:rsidRPr="00BA5FC2">
              <w:rPr>
                <w:rFonts w:cstheme="minorHAnsi"/>
              </w:rPr>
              <w:t xml:space="preserve">Dr </w:t>
            </w:r>
            <w:r w:rsidR="00665F84" w:rsidRPr="00BA5FC2">
              <w:rPr>
                <w:rFonts w:cstheme="minorHAnsi"/>
              </w:rPr>
              <w:t>Glynis Ahamat</w:t>
            </w:r>
          </w:p>
          <w:p w14:paraId="311F1949" w14:textId="77777777" w:rsidR="00FD3C8B" w:rsidRPr="00BA0EAE" w:rsidRDefault="00FD3C8B" w:rsidP="00665F84">
            <w:pPr>
              <w:rPr>
                <w:rFonts w:cstheme="minorHAnsi"/>
              </w:rPr>
            </w:pPr>
          </w:p>
        </w:tc>
        <w:tc>
          <w:tcPr>
            <w:tcW w:w="4626" w:type="dxa"/>
            <w:shd w:val="clear" w:color="auto" w:fill="9CC2E5" w:themeFill="accent5" w:themeFillTint="99"/>
          </w:tcPr>
          <w:p w14:paraId="1119D240" w14:textId="77777777" w:rsidR="00FD3C8B" w:rsidRPr="00BA0EAE" w:rsidRDefault="00FD3C8B" w:rsidP="00946DCF">
            <w:pPr>
              <w:rPr>
                <w:rFonts w:cstheme="minorHAnsi"/>
              </w:rPr>
            </w:pPr>
          </w:p>
          <w:p w14:paraId="26A394BA" w14:textId="77777777" w:rsidR="00FD3C8B" w:rsidRPr="00BA0EAE" w:rsidRDefault="00FD3C8B" w:rsidP="00946DCF">
            <w:pPr>
              <w:rPr>
                <w:rFonts w:cstheme="minorHAnsi"/>
              </w:rPr>
            </w:pPr>
            <w:r w:rsidRPr="00BA0EAE">
              <w:rPr>
                <w:rFonts w:cstheme="minorHAnsi"/>
              </w:rPr>
              <w:sym w:font="Wingdings" w:char="F028"/>
            </w:r>
            <w:r w:rsidRPr="00BA0EAE">
              <w:rPr>
                <w:rFonts w:cstheme="minorHAnsi"/>
              </w:rPr>
              <w:t xml:space="preserve">  04-567-1066</w:t>
            </w:r>
          </w:p>
          <w:p w14:paraId="6C8D753D" w14:textId="77777777" w:rsidR="00FD3C8B" w:rsidRPr="00BA0EAE" w:rsidRDefault="00FD3C8B" w:rsidP="00946DCF">
            <w:pPr>
              <w:rPr>
                <w:rFonts w:cstheme="minorHAnsi"/>
              </w:rPr>
            </w:pPr>
            <w:r w:rsidRPr="00BA0EAE">
              <w:rPr>
                <w:rFonts w:cstheme="minorHAnsi"/>
              </w:rPr>
              <w:sym w:font="Wingdings" w:char="F03A"/>
            </w:r>
            <w:r w:rsidRPr="00BA0EAE">
              <w:rPr>
                <w:rFonts w:cstheme="minorHAnsi"/>
              </w:rPr>
              <w:t xml:space="preserve">  naenaemc@naenaemc.com </w:t>
            </w:r>
          </w:p>
          <w:p w14:paraId="09D7A4EB" w14:textId="77777777" w:rsidR="00FD3C8B" w:rsidRPr="00BA0EAE" w:rsidRDefault="00FD3C8B" w:rsidP="00946DCF">
            <w:pPr>
              <w:rPr>
                <w:rFonts w:cstheme="minorHAnsi"/>
              </w:rPr>
            </w:pPr>
          </w:p>
          <w:p w14:paraId="30DE734F" w14:textId="77777777" w:rsidR="00FD3C8B" w:rsidRPr="00BA0EAE" w:rsidRDefault="00FD3C8B" w:rsidP="00946DCF">
            <w:pPr>
              <w:rPr>
                <w:rFonts w:cstheme="minorHAnsi"/>
              </w:rPr>
            </w:pPr>
            <w:r w:rsidRPr="00BA0EAE">
              <w:rPr>
                <w:rFonts w:cstheme="minorHAnsi"/>
              </w:rPr>
              <w:t>OPENING HOURS</w:t>
            </w:r>
          </w:p>
          <w:p w14:paraId="60FA706B" w14:textId="77777777" w:rsidR="00FD3C8B" w:rsidRPr="00BA0EAE" w:rsidRDefault="00FD3C8B" w:rsidP="00946DCF">
            <w:pPr>
              <w:rPr>
                <w:rFonts w:cstheme="minorHAnsi"/>
              </w:rPr>
            </w:pPr>
            <w:r w:rsidRPr="00BA0EAE">
              <w:rPr>
                <w:rFonts w:cstheme="minorHAnsi"/>
              </w:rPr>
              <w:t>Mon to Friday 8.30am – 5.30pm</w:t>
            </w:r>
            <w:r w:rsidRPr="00BA0EAE">
              <w:rPr>
                <w:rFonts w:cstheme="minorHAnsi"/>
                <w:noProof/>
              </w:rPr>
              <w:t xml:space="preserve"> </w:t>
            </w:r>
          </w:p>
        </w:tc>
      </w:tr>
    </w:tbl>
    <w:p w14:paraId="12129449" w14:textId="77777777" w:rsidR="00FD3C8B" w:rsidRDefault="00FD3C8B" w:rsidP="00FD3C8B">
      <w:pPr>
        <w:spacing w:after="0"/>
      </w:pPr>
    </w:p>
    <w:p w14:paraId="3A25E425" w14:textId="7D33476B" w:rsidR="009A659E" w:rsidRPr="00FD3C8B" w:rsidRDefault="009A659E">
      <w:pPr>
        <w:rPr>
          <w:sz w:val="40"/>
          <w:szCs w:val="40"/>
        </w:rPr>
      </w:pPr>
      <w:r w:rsidRPr="00FD3C8B">
        <w:rPr>
          <w:sz w:val="40"/>
          <w:szCs w:val="40"/>
        </w:rPr>
        <w:t xml:space="preserve">TERMS AND CONDITIONS </w:t>
      </w:r>
    </w:p>
    <w:p w14:paraId="5AAE42A5" w14:textId="437BDB7D" w:rsidR="009A659E" w:rsidRDefault="009A659E">
      <w:r>
        <w:t xml:space="preserve">1. </w:t>
      </w:r>
      <w:r w:rsidR="00B721CE" w:rsidRPr="00B721CE">
        <w:rPr>
          <w:b/>
          <w:bCs/>
        </w:rPr>
        <w:t>CONSULTS</w:t>
      </w:r>
      <w:r w:rsidR="00515759">
        <w:t xml:space="preserve"> </w:t>
      </w:r>
      <w:r>
        <w:t xml:space="preserve">Patient consults are 15 minutes or 20 minutes. If you need a longer visit please arrange this at booking time so you can be allocated and charged for the correct time. </w:t>
      </w:r>
    </w:p>
    <w:p w14:paraId="3BB047EA" w14:textId="686EBB15" w:rsidR="001139D4" w:rsidRDefault="001139D4" w:rsidP="001139D4">
      <w:pPr>
        <w:pStyle w:val="ListParagraph"/>
        <w:numPr>
          <w:ilvl w:val="0"/>
          <w:numId w:val="2"/>
        </w:numPr>
      </w:pPr>
      <w:r>
        <w:t>Standard Fees apply to Telephone, Email and Video Consultations</w:t>
      </w:r>
    </w:p>
    <w:p w14:paraId="4A1B86F4" w14:textId="5BFE6E63" w:rsidR="001139D4" w:rsidRDefault="009A659E" w:rsidP="001139D4">
      <w:r>
        <w:t xml:space="preserve">2. </w:t>
      </w:r>
      <w:r w:rsidR="00515759" w:rsidRPr="00B721CE">
        <w:rPr>
          <w:b/>
          <w:bCs/>
        </w:rPr>
        <w:t>PAYMENTS</w:t>
      </w:r>
      <w:r w:rsidR="00515759">
        <w:t xml:space="preserve"> </w:t>
      </w:r>
      <w:r>
        <w:t>We strongly encourage all patients to pay on day of consult</w:t>
      </w:r>
      <w:r w:rsidR="00080AF5">
        <w:t>.  If experiencing hardship, we ask</w:t>
      </w:r>
      <w:r>
        <w:t xml:space="preserve"> that patients set up an Ap weekly/fortnightly payment 01-0530-0345217-00</w:t>
      </w:r>
      <w:r w:rsidR="00DD5C73">
        <w:t xml:space="preserve"> with your full name for a reference</w:t>
      </w:r>
      <w:r w:rsidR="009672CE">
        <w:t>.  At this stage you are also required to talk to our Enrolments Officer for further assistance.</w:t>
      </w:r>
    </w:p>
    <w:p w14:paraId="361D0B44" w14:textId="4240BFB0" w:rsidR="00FE66AF" w:rsidRDefault="00FE66AF" w:rsidP="00FE66AF">
      <w:r>
        <w:t xml:space="preserve">3. </w:t>
      </w:r>
      <w:r w:rsidRPr="00B721CE">
        <w:rPr>
          <w:b/>
          <w:bCs/>
        </w:rPr>
        <w:t>BAD BEHAVIOUR</w:t>
      </w:r>
      <w:r>
        <w:t xml:space="preserve"> All patients are to respect the staff working at Naenae Medical Centre. We will not tolerate any rudeness, abuse or violence in any form whether it be on the phone or in the surgery. You will be asked to leave the Practice immediately.</w:t>
      </w:r>
    </w:p>
    <w:p w14:paraId="37485816" w14:textId="399DAE1F" w:rsidR="00B721CE" w:rsidRDefault="00FE66AF" w:rsidP="001139D4">
      <w:r>
        <w:t>4</w:t>
      </w:r>
      <w:r w:rsidR="00B721CE">
        <w:t xml:space="preserve">. </w:t>
      </w:r>
      <w:r w:rsidR="00B721CE" w:rsidRPr="00B721CE">
        <w:rPr>
          <w:b/>
          <w:bCs/>
        </w:rPr>
        <w:t>RESULTS</w:t>
      </w:r>
      <w:r w:rsidR="00EB6D0E">
        <w:rPr>
          <w:b/>
          <w:bCs/>
        </w:rPr>
        <w:t xml:space="preserve"> </w:t>
      </w:r>
      <w:r w:rsidR="00B721CE">
        <w:t>We do not ring our patients with their test results unless they are abnormal. All results can be found on your patient portal.</w:t>
      </w:r>
    </w:p>
    <w:p w14:paraId="0519B17A" w14:textId="38255121" w:rsidR="00B721CE" w:rsidRDefault="00FE66AF" w:rsidP="00B721CE">
      <w:r>
        <w:t>5</w:t>
      </w:r>
      <w:r w:rsidR="00B721CE">
        <w:t xml:space="preserve">. </w:t>
      </w:r>
      <w:r w:rsidR="00B721CE" w:rsidRPr="00B721CE">
        <w:rPr>
          <w:b/>
          <w:bCs/>
        </w:rPr>
        <w:t>REPEAT PRESCRIPTIONS</w:t>
      </w:r>
      <w:r w:rsidR="00B721CE">
        <w:t xml:space="preserve"> take 2 working days to process. These can be ordered via script line or patient portal (Manage My Health – access to your medical records online)</w:t>
      </w:r>
    </w:p>
    <w:p w14:paraId="6AEFC35A" w14:textId="0EDAE74D" w:rsidR="00D5220C" w:rsidRDefault="00B721CE">
      <w:r>
        <w:t>6</w:t>
      </w:r>
      <w:r w:rsidR="009A659E">
        <w:t xml:space="preserve">. </w:t>
      </w:r>
      <w:r w:rsidRPr="00B721CE">
        <w:rPr>
          <w:b/>
          <w:bCs/>
        </w:rPr>
        <w:t>LOST/STOLEN</w:t>
      </w:r>
      <w:r w:rsidR="009A659E">
        <w:t xml:space="preserve"> controlled drug medication are only replaced when Dr has been provided with a Police report. </w:t>
      </w:r>
    </w:p>
    <w:p w14:paraId="7EE83C87" w14:textId="6FB6245B" w:rsidR="00FE66AF" w:rsidRDefault="00FE66AF">
      <w:r>
        <w:t xml:space="preserve">7. </w:t>
      </w:r>
      <w:r w:rsidRPr="00FE66AF">
        <w:rPr>
          <w:b/>
          <w:bCs/>
        </w:rPr>
        <w:t>SELF MEDICATING</w:t>
      </w:r>
      <w:r>
        <w:t xml:space="preserve"> patients cannot self-medicate eg a patient cannot increase medications and then request an ‘extra’ or ‘catch-up’ script.</w:t>
      </w:r>
    </w:p>
    <w:p w14:paraId="50EAF395" w14:textId="4016439C" w:rsidR="00D5220C" w:rsidRDefault="00FE66AF">
      <w:r>
        <w:t>8</w:t>
      </w:r>
      <w:r w:rsidR="009A659E">
        <w:t xml:space="preserve">. </w:t>
      </w:r>
      <w:r w:rsidR="00B721CE" w:rsidRPr="00B721CE">
        <w:rPr>
          <w:b/>
          <w:bCs/>
        </w:rPr>
        <w:t>AN APPOINTMENT</w:t>
      </w:r>
      <w:r w:rsidR="00B721CE">
        <w:t xml:space="preserve"> </w:t>
      </w:r>
      <w:r w:rsidR="00080AF5">
        <w:t>may be required for a</w:t>
      </w:r>
      <w:r w:rsidR="009A659E">
        <w:t>ll WINZ</w:t>
      </w:r>
      <w:r w:rsidR="00080AF5">
        <w:t xml:space="preserve"> or </w:t>
      </w:r>
      <w:r w:rsidR="009A659E">
        <w:t>ACC forms, driving licence renewals, medical alarms</w:t>
      </w:r>
      <w:r w:rsidR="00080AF5">
        <w:t>.</w:t>
      </w:r>
      <w:r w:rsidR="009A659E">
        <w:t xml:space="preserve"> These forms become legal documents and are scanned into the patients notes.</w:t>
      </w:r>
    </w:p>
    <w:p w14:paraId="608F87B3" w14:textId="164A1B17" w:rsidR="00080AF5" w:rsidRDefault="00FE66AF" w:rsidP="00080AF5">
      <w:r>
        <w:t>9</w:t>
      </w:r>
      <w:r w:rsidR="00080AF5">
        <w:t xml:space="preserve">. </w:t>
      </w:r>
      <w:r w:rsidR="00080AF5" w:rsidRPr="00B721CE">
        <w:rPr>
          <w:b/>
          <w:bCs/>
        </w:rPr>
        <w:t>PATIENT PORTAL</w:t>
      </w:r>
      <w:r w:rsidR="009672CE" w:rsidRPr="00B721CE">
        <w:rPr>
          <w:b/>
          <w:bCs/>
        </w:rPr>
        <w:t xml:space="preserve"> – MANAGE MY HEALTH</w:t>
      </w:r>
      <w:r w:rsidR="00080AF5">
        <w:t xml:space="preserve"> We encourage all our patients to register with Manage My Health</w:t>
      </w:r>
      <w:r w:rsidR="009672CE">
        <w:t xml:space="preserve"> when enrolling</w:t>
      </w:r>
      <w:r w:rsidR="00080AF5">
        <w:t>. This will enable you to see your consult notes, make appointments, order repeat prescriptions, see your test results and communicate with your Dr.</w:t>
      </w:r>
    </w:p>
    <w:p w14:paraId="5D9DE442" w14:textId="1F84B390" w:rsidR="00080AF5" w:rsidRDefault="009A659E">
      <w:r>
        <w:t>10.</w:t>
      </w:r>
      <w:r w:rsidR="00B721CE">
        <w:t xml:space="preserve"> </w:t>
      </w:r>
      <w:r w:rsidR="00B721CE" w:rsidRPr="00B721CE">
        <w:rPr>
          <w:b/>
          <w:bCs/>
        </w:rPr>
        <w:t>CANCELLATION</w:t>
      </w:r>
      <w:r>
        <w:t xml:space="preserve"> Please when at all possible give 24 hours’ notice to cancel an appointment. We charge a $20 DNA fee for patients that Do not attend their appointment and have not informed us. </w:t>
      </w:r>
    </w:p>
    <w:p w14:paraId="0D4A9737" w14:textId="77777777" w:rsidR="00080AF5" w:rsidRDefault="00080AF5"/>
    <w:p w14:paraId="0197C74A" w14:textId="77777777" w:rsidR="00063BC4" w:rsidRDefault="009A659E">
      <w:r>
        <w:t>Signed by patient ………………………………………………………………………………………………………………….</w:t>
      </w:r>
    </w:p>
    <w:sectPr w:rsidR="00063BC4" w:rsidSect="00C530A1">
      <w:pgSz w:w="11906" w:h="16838"/>
      <w:pgMar w:top="737"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44D2B"/>
    <w:multiLevelType w:val="hybridMultilevel"/>
    <w:tmpl w:val="6A2A36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4C20F7D"/>
    <w:multiLevelType w:val="hybridMultilevel"/>
    <w:tmpl w:val="D682C4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59E"/>
    <w:rsid w:val="000479DD"/>
    <w:rsid w:val="00063BC4"/>
    <w:rsid w:val="00080AF5"/>
    <w:rsid w:val="001139D4"/>
    <w:rsid w:val="00442CFB"/>
    <w:rsid w:val="004E787E"/>
    <w:rsid w:val="00515759"/>
    <w:rsid w:val="00605EB4"/>
    <w:rsid w:val="00665F84"/>
    <w:rsid w:val="008C180C"/>
    <w:rsid w:val="009672CE"/>
    <w:rsid w:val="009A659E"/>
    <w:rsid w:val="00B721CE"/>
    <w:rsid w:val="00BA5FC2"/>
    <w:rsid w:val="00C33917"/>
    <w:rsid w:val="00C530A1"/>
    <w:rsid w:val="00D5220C"/>
    <w:rsid w:val="00D70F78"/>
    <w:rsid w:val="00DD5C73"/>
    <w:rsid w:val="00EB6D0E"/>
    <w:rsid w:val="00FB1FAB"/>
    <w:rsid w:val="00FD3C8B"/>
    <w:rsid w:val="00FE66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30CF7"/>
  <w15:chartTrackingRefBased/>
  <w15:docId w15:val="{2877DF83-F3F2-4936-B7BB-2218442E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Tesh</dc:creator>
  <cp:keywords/>
  <dc:description/>
  <cp:lastModifiedBy>Chris Polaczuk</cp:lastModifiedBy>
  <cp:revision>7</cp:revision>
  <cp:lastPrinted>2020-05-05T21:50:00Z</cp:lastPrinted>
  <dcterms:created xsi:type="dcterms:W3CDTF">2020-05-06T01:05:00Z</dcterms:created>
  <dcterms:modified xsi:type="dcterms:W3CDTF">2020-05-06T04:42:00Z</dcterms:modified>
</cp:coreProperties>
</file>